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518-т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тарифов на водоотведение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</w:t>
        <w:br/>
        <w:t xml:space="preserve">и водоотведения», </w:t>
      </w:r>
      <w:hyperlink r:id="rId10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after="0"/>
        <w:rPr>
          <w:rFonts w:ascii="Liberation Sans" w:hAnsi="Liberation Sans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hyperlink r:id="rId11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на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водоотведение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для расчетов </w:t>
        <w:br/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Установить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</w:t>
        <w:br/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 для формирования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с использованием метода индексации установленных тарифов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518-т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ТАРИФЫ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НА ВОДООТВЕДЕНИЕ, УСТАНОВЛЕННЫЕ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ДЛЯ РАСЧЕТОВ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С ПОТРЕБИТЕЛЯМИ </w:t>
      </w:r>
      <w:r>
        <w:rPr>
          <w:rFonts w:ascii="Liberation Sans" w:hAnsi="Liberation Sans" w:cs="Liberation Sans"/>
          <w:sz w:val="24"/>
          <w:szCs w:val="24"/>
        </w:rPr>
        <w:t xml:space="preserve">НА 2024 - 2028 ГОДЫ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282,76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69,68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83,61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2 -4 </w:t>
        </w:r>
        <w:r>
          <w:rPr>
            <w:rFonts w:ascii="Liberation Sans" w:hAnsi="Liberation Sans" w:eastAsia="Liberation Serif" w:cs="Liberation Sans"/>
            <w:color w:val="000000" w:themeColor="text1"/>
          </w:rPr>
          <w:t xml:space="preserve">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cs="Liberation Sans"/>
            <w:color w:val="000000" w:themeColor="text1"/>
          </w:rPr>
          <w:t xml:space="preserve">пункте 1 </w:t>
        </w:r>
        <w:r>
          <w:rPr>
            <w:rFonts w:ascii="Liberation Sans" w:hAnsi="Liberation Sans" w:eastAsia="Liberation Serif" w:cs="Liberation Sans"/>
            <w:color w:val="000000" w:themeColor="text1"/>
          </w:rPr>
          <w:t xml:space="preserve">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/>
          <w:sz w:val="24"/>
          <w:szCs w:val="28"/>
        </w:rPr>
      </w:r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518-т</w:t>
      </w:r>
      <w:r>
        <w:rPr>
          <w:rFonts w:ascii="Liberation Sans" w:hAnsi="Liberation Sans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ДОЛГОСРОЧНЫЕ ПАРАМЕТРЫ РЕГУЛИРОВАНИЯ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  <w:t xml:space="preserve">ТАРИФОВ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, УСТАНАВЛИВАЕМЫЕ НА ДОЛГОСРОЧНЫЙ ПЕРИОД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РЕГУЛИРО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 НА 2024 – 2028 ГОДЫ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Муниципальное производственное предприятие жилищно-коммунального хозяйства муниципального образования город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Лабытнанги «Ямал»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39 539,88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21FAF34727E4E93BD845608C84F88EE5A2D220B235018A31618DB5B4205409AF2C61E" TargetMode="External"/><Relationship Id="rId11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2022-10-31T11:46:00Z</dcterms:created>
  <dcterms:modified xsi:type="dcterms:W3CDTF">2023-12-16T10:23:37Z</dcterms:modified>
</cp:coreProperties>
</file>